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«Лингвокультурология».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ПК-1,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784.3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отрыве от культуры носителей языка.  Значение как связующее звено между языком народа и его культурой. Специфические особенности лингвокультурологии как науки.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 (Г.О.Винокур, А.А.Потебня, Ф.И.Буслаев, А.Н.Афанасьев).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8744.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771.2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w:t>
            </w:r>
          </w:p>
          <w:p>
            <w:pPr>
              <w:jc w:val="both"/>
              <w:spacing w:after="0" w:line="240" w:lineRule="auto"/>
              <w:rPr>
                <w:sz w:val="24"/>
                <w:szCs w:val="24"/>
              </w:rPr>
            </w:pPr>
            <w:r>
              <w:rPr>
                <w:rFonts w:ascii="Times New Roman" w:hAnsi="Times New Roman" w:cs="Times New Roman"/>
                <w:color w:val="#000000"/>
                <w:sz w:val="24"/>
                <w:szCs w:val="24"/>
              </w:rPr>
              <w:t> 2 Идея антропоцентричности языка.</w:t>
            </w:r>
          </w:p>
          <w:p>
            <w:pPr>
              <w:jc w:val="both"/>
              <w:spacing w:after="0" w:line="240" w:lineRule="auto"/>
              <w:rPr>
                <w:sz w:val="24"/>
                <w:szCs w:val="24"/>
              </w:rPr>
            </w:pPr>
            <w:r>
              <w:rPr>
                <w:rFonts w:ascii="Times New Roman" w:hAnsi="Times New Roman" w:cs="Times New Roman"/>
                <w:color w:val="#000000"/>
                <w:sz w:val="24"/>
                <w:szCs w:val="24"/>
              </w:rPr>
              <w:t>  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pPr>
              <w:jc w:val="both"/>
              <w:spacing w:after="0" w:line="240" w:lineRule="auto"/>
              <w:rPr>
                <w:sz w:val="24"/>
                <w:szCs w:val="24"/>
              </w:rPr>
            </w:pPr>
            <w:r>
              <w:rPr>
                <w:rFonts w:ascii="Times New Roman" w:hAnsi="Times New Roman" w:cs="Times New Roman"/>
                <w:color w:val="#000000"/>
                <w:sz w:val="24"/>
                <w:szCs w:val="24"/>
              </w:rPr>
              <w:t> 4 Сущность языка как многостороннего явления.</w:t>
            </w:r>
          </w:p>
          <w:p>
            <w:pPr>
              <w:jc w:val="both"/>
              <w:spacing w:after="0" w:line="240" w:lineRule="auto"/>
              <w:rPr>
                <w:sz w:val="24"/>
                <w:szCs w:val="24"/>
              </w:rPr>
            </w:pPr>
            <w:r>
              <w:rPr>
                <w:rFonts w:ascii="Times New Roman" w:hAnsi="Times New Roman" w:cs="Times New Roman"/>
                <w:color w:val="#000000"/>
                <w:sz w:val="24"/>
                <w:szCs w:val="24"/>
              </w:rPr>
              <w:t>  5 Место лингвокультурологии в антропоцентрической парадигме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w:t>
            </w:r>
          </w:p>
          <w:p>
            <w:pPr>
              <w:jc w:val="both"/>
              <w:spacing w:after="0" w:line="240" w:lineRule="auto"/>
              <w:rPr>
                <w:sz w:val="24"/>
                <w:szCs w:val="24"/>
              </w:rPr>
            </w:pPr>
            <w:r>
              <w:rPr>
                <w:rFonts w:ascii="Times New Roman" w:hAnsi="Times New Roman" w:cs="Times New Roman"/>
                <w:color w:val="#000000"/>
                <w:sz w:val="24"/>
                <w:szCs w:val="24"/>
              </w:rPr>
              <w:t> 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pPr>
              <w:jc w:val="both"/>
              <w:spacing w:after="0" w:line="240" w:lineRule="auto"/>
              <w:rPr>
                <w:sz w:val="24"/>
                <w:szCs w:val="24"/>
              </w:rPr>
            </w:pPr>
            <w:r>
              <w:rPr>
                <w:rFonts w:ascii="Times New Roman" w:hAnsi="Times New Roman" w:cs="Times New Roman"/>
                <w:color w:val="#000000"/>
                <w:sz w:val="24"/>
                <w:szCs w:val="24"/>
              </w:rPr>
              <w:t> 3. Основные цели и задачи лингвокультурологии.</w:t>
            </w:r>
          </w:p>
          <w:p>
            <w:pPr>
              <w:jc w:val="both"/>
              <w:spacing w:after="0" w:line="240" w:lineRule="auto"/>
              <w:rPr>
                <w:sz w:val="24"/>
                <w:szCs w:val="24"/>
              </w:rPr>
            </w:pPr>
            <w:r>
              <w:rPr>
                <w:rFonts w:ascii="Times New Roman" w:hAnsi="Times New Roman" w:cs="Times New Roman"/>
                <w:color w:val="#000000"/>
                <w:sz w:val="24"/>
                <w:szCs w:val="24"/>
              </w:rPr>
              <w:t> 4. Методология науки: философская, общенаучная и частная.</w:t>
            </w:r>
          </w:p>
          <w:p>
            <w:pPr>
              <w:jc w:val="both"/>
              <w:spacing w:after="0" w:line="240" w:lineRule="auto"/>
              <w:rPr>
                <w:sz w:val="24"/>
                <w:szCs w:val="24"/>
              </w:rPr>
            </w:pPr>
            <w:r>
              <w:rPr>
                <w:rFonts w:ascii="Times New Roman" w:hAnsi="Times New Roman" w:cs="Times New Roman"/>
                <w:color w:val="#000000"/>
                <w:sz w:val="24"/>
                <w:szCs w:val="24"/>
              </w:rPr>
              <w:t> 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w:t>
            </w:r>
          </w:p>
          <w:p>
            <w:pPr>
              <w:jc w:val="both"/>
              <w:spacing w:after="0" w:line="240" w:lineRule="auto"/>
              <w:rPr>
                <w:sz w:val="24"/>
                <w:szCs w:val="24"/>
              </w:rPr>
            </w:pPr>
            <w:r>
              <w:rPr>
                <w:rFonts w:ascii="Times New Roman" w:hAnsi="Times New Roman" w:cs="Times New Roman"/>
                <w:color w:val="#000000"/>
                <w:sz w:val="24"/>
                <w:szCs w:val="24"/>
              </w:rPr>
              <w:t> 2. Обучение языку не возможно в отрыве от культуры носителей языка.</w:t>
            </w:r>
          </w:p>
          <w:p>
            <w:pPr>
              <w:jc w:val="both"/>
              <w:spacing w:after="0" w:line="240" w:lineRule="auto"/>
              <w:rPr>
                <w:sz w:val="24"/>
                <w:szCs w:val="24"/>
              </w:rPr>
            </w:pPr>
            <w:r>
              <w:rPr>
                <w:rFonts w:ascii="Times New Roman" w:hAnsi="Times New Roman" w:cs="Times New Roman"/>
                <w:color w:val="#000000"/>
                <w:sz w:val="24"/>
                <w:szCs w:val="24"/>
              </w:rPr>
              <w:t> 3. Значение как связующее звено между языком народа и его культурой.</w:t>
            </w:r>
          </w:p>
          <w:p>
            <w:pPr>
              <w:jc w:val="both"/>
              <w:spacing w:after="0" w:line="240" w:lineRule="auto"/>
              <w:rPr>
                <w:sz w:val="24"/>
                <w:szCs w:val="24"/>
              </w:rPr>
            </w:pPr>
            <w:r>
              <w:rPr>
                <w:rFonts w:ascii="Times New Roman" w:hAnsi="Times New Roman" w:cs="Times New Roman"/>
                <w:color w:val="#000000"/>
                <w:sz w:val="24"/>
                <w:szCs w:val="24"/>
              </w:rPr>
              <w:t> 4. Специфические особенности лингвокультурологии как науки (Витгенштейн, Н.Бор, Х.Г.Гадамер).</w:t>
            </w:r>
          </w:p>
          <w:p>
            <w:pPr>
              <w:jc w:val="both"/>
              <w:spacing w:after="0" w:line="240" w:lineRule="auto"/>
              <w:rPr>
                <w:sz w:val="24"/>
                <w:szCs w:val="24"/>
              </w:rPr>
            </w:pPr>
            <w:r>
              <w:rPr>
                <w:rFonts w:ascii="Times New Roman" w:hAnsi="Times New Roman" w:cs="Times New Roman"/>
                <w:color w:val="#000000"/>
                <w:sz w:val="24"/>
                <w:szCs w:val="24"/>
              </w:rPr>
              <w:t> 5. Лингвистическая концепция В. фон Гумбольдта по проблеме «язык-культура».</w:t>
            </w:r>
          </w:p>
          <w:p>
            <w:pPr>
              <w:jc w:val="both"/>
              <w:spacing w:after="0" w:line="240" w:lineRule="auto"/>
              <w:rPr>
                <w:sz w:val="24"/>
                <w:szCs w:val="24"/>
              </w:rPr>
            </w:pPr>
            <w:r>
              <w:rPr>
                <w:rFonts w:ascii="Times New Roman" w:hAnsi="Times New Roman" w:cs="Times New Roman"/>
                <w:color w:val="#000000"/>
                <w:sz w:val="24"/>
                <w:szCs w:val="24"/>
              </w:rPr>
              <w:t> 6.Взгляды Э. Сепира, Б. Уорфа, К. Фосслера, Ф. де Соссюра на взаимосвязь языка и культуры.</w:t>
            </w:r>
          </w:p>
          <w:p>
            <w:pPr>
              <w:jc w:val="both"/>
              <w:spacing w:after="0" w:line="240" w:lineRule="auto"/>
              <w:rPr>
                <w:sz w:val="24"/>
                <w:szCs w:val="24"/>
              </w:rPr>
            </w:pPr>
            <w:r>
              <w:rPr>
                <w:rFonts w:ascii="Times New Roman" w:hAnsi="Times New Roman" w:cs="Times New Roman"/>
                <w:color w:val="#000000"/>
                <w:sz w:val="24"/>
                <w:szCs w:val="24"/>
              </w:rPr>
              <w:t> 7. Отечественные ученые о соотношении языка и культуры (Г.О.Винокур, А.А.Потебня, Ф.И.Буслаев, А.Н.Афанасьев).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Лингвокультурологический анализ текста. Методы и методики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1.Базовые концепты лингвокультурологического метода.</w:t>
            </w:r>
          </w:p>
          <w:p>
            <w:pPr>
              <w:jc w:val="both"/>
              <w:spacing w:after="0" w:line="240" w:lineRule="auto"/>
              <w:rPr>
                <w:sz w:val="24"/>
                <w:szCs w:val="24"/>
              </w:rPr>
            </w:pPr>
            <w:r>
              <w:rPr>
                <w:rFonts w:ascii="Times New Roman" w:hAnsi="Times New Roman" w:cs="Times New Roman"/>
                <w:color w:val="#000000"/>
                <w:sz w:val="24"/>
                <w:szCs w:val="24"/>
              </w:rPr>
              <w:t> 2. Методики контент-анализа.</w:t>
            </w:r>
          </w:p>
          <w:p>
            <w:pPr>
              <w:jc w:val="both"/>
              <w:spacing w:after="0" w:line="240" w:lineRule="auto"/>
              <w:rPr>
                <w:sz w:val="24"/>
                <w:szCs w:val="24"/>
              </w:rPr>
            </w:pPr>
            <w:r>
              <w:rPr>
                <w:rFonts w:ascii="Times New Roman" w:hAnsi="Times New Roman" w:cs="Times New Roman"/>
                <w:color w:val="#000000"/>
                <w:sz w:val="24"/>
                <w:szCs w:val="24"/>
              </w:rPr>
              <w:t> 3.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4. Психологические методики.</w:t>
            </w:r>
          </w:p>
          <w:p>
            <w:pPr>
              <w:jc w:val="both"/>
              <w:spacing w:after="0" w:line="240" w:lineRule="auto"/>
              <w:rPr>
                <w:sz w:val="24"/>
                <w:szCs w:val="24"/>
              </w:rPr>
            </w:pPr>
            <w:r>
              <w:rPr>
                <w:rFonts w:ascii="Times New Roman" w:hAnsi="Times New Roman" w:cs="Times New Roman"/>
                <w:color w:val="#000000"/>
                <w:sz w:val="24"/>
                <w:szCs w:val="24"/>
              </w:rPr>
              <w:t> 5.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6. Метод лингвистической реконструкции культуры.</w:t>
            </w:r>
          </w:p>
          <w:p>
            <w:pPr>
              <w:jc w:val="both"/>
              <w:spacing w:after="0" w:line="240" w:lineRule="auto"/>
              <w:rPr>
                <w:sz w:val="24"/>
                <w:szCs w:val="24"/>
              </w:rPr>
            </w:pPr>
            <w:r>
              <w:rPr>
                <w:rFonts w:ascii="Times New Roman" w:hAnsi="Times New Roman" w:cs="Times New Roman"/>
                <w:color w:val="#000000"/>
                <w:sz w:val="24"/>
                <w:szCs w:val="24"/>
              </w:rPr>
              <w:t> 7. Анализ идиом.</w:t>
            </w:r>
          </w:p>
          <w:p>
            <w:pPr>
              <w:jc w:val="both"/>
              <w:spacing w:after="0" w:line="240" w:lineRule="auto"/>
              <w:rPr>
                <w:sz w:val="24"/>
                <w:szCs w:val="24"/>
              </w:rPr>
            </w:pPr>
            <w:r>
              <w:rPr>
                <w:rFonts w:ascii="Times New Roman" w:hAnsi="Times New Roman" w:cs="Times New Roman"/>
                <w:color w:val="#000000"/>
                <w:sz w:val="24"/>
                <w:szCs w:val="24"/>
              </w:rPr>
              <w:t> 8. Теория концептуальной метафоры Дж.Лакоффа.</w:t>
            </w:r>
          </w:p>
          <w:p>
            <w:pPr>
              <w:jc w:val="both"/>
              <w:spacing w:after="0" w:line="240" w:lineRule="auto"/>
              <w:rPr>
                <w:sz w:val="24"/>
                <w:szCs w:val="24"/>
              </w:rPr>
            </w:pPr>
            <w:r>
              <w:rPr>
                <w:rFonts w:ascii="Times New Roman" w:hAnsi="Times New Roman" w:cs="Times New Roman"/>
                <w:color w:val="#000000"/>
                <w:sz w:val="24"/>
                <w:szCs w:val="24"/>
              </w:rPr>
              <w:t> 9. Макрокомпонентная модель описания В.Н.Телия.</w:t>
            </w:r>
          </w:p>
          <w:p>
            <w:pPr>
              <w:jc w:val="both"/>
              <w:spacing w:after="0" w:line="240" w:lineRule="auto"/>
              <w:rPr>
                <w:sz w:val="24"/>
                <w:szCs w:val="24"/>
              </w:rPr>
            </w:pPr>
            <w:r>
              <w:rPr>
                <w:rFonts w:ascii="Times New Roman" w:hAnsi="Times New Roman" w:cs="Times New Roman"/>
                <w:color w:val="#000000"/>
                <w:sz w:val="24"/>
                <w:szCs w:val="24"/>
              </w:rPr>
              <w:t> 10. Лингвокультурологический анализ текстов.</w:t>
            </w:r>
          </w:p>
          <w:p>
            <w:pPr>
              <w:jc w:val="both"/>
              <w:spacing w:after="0" w:line="240" w:lineRule="auto"/>
              <w:rPr>
                <w:sz w:val="24"/>
                <w:szCs w:val="24"/>
              </w:rPr>
            </w:pPr>
            <w:r>
              <w:rPr>
                <w:rFonts w:ascii="Times New Roman" w:hAnsi="Times New Roman" w:cs="Times New Roman"/>
                <w:color w:val="#000000"/>
                <w:sz w:val="24"/>
                <w:szCs w:val="24"/>
              </w:rPr>
              <w:t> 11. Дискурс-анализ как проблема границ изучаемого материала (фразеосемантические единицы, метафоры, стереотипы и т.д.).</w:t>
            </w:r>
          </w:p>
          <w:p>
            <w:pPr>
              <w:jc w:val="both"/>
              <w:spacing w:after="0" w:line="240" w:lineRule="auto"/>
              <w:rPr>
                <w:sz w:val="24"/>
                <w:szCs w:val="24"/>
              </w:rPr>
            </w:pPr>
            <w:r>
              <w:rPr>
                <w:rFonts w:ascii="Times New Roman" w:hAnsi="Times New Roman" w:cs="Times New Roman"/>
                <w:color w:val="#000000"/>
                <w:sz w:val="24"/>
                <w:szCs w:val="24"/>
              </w:rPr>
              <w:t> 12. Языковые модели (грамматические категории и словообразовательные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«языковая личность».</w:t>
            </w:r>
          </w:p>
          <w:p>
            <w:pPr>
              <w:jc w:val="both"/>
              <w:spacing w:after="0" w:line="240" w:lineRule="auto"/>
              <w:rPr>
                <w:sz w:val="24"/>
                <w:szCs w:val="24"/>
              </w:rPr>
            </w:pPr>
            <w:r>
              <w:rPr>
                <w:rFonts w:ascii="Times New Roman" w:hAnsi="Times New Roman" w:cs="Times New Roman"/>
                <w:color w:val="#000000"/>
                <w:sz w:val="24"/>
                <w:szCs w:val="24"/>
              </w:rPr>
              <w:t> 2.Уровни языковой личности (вербальносемантический, когнитивный, прагматический, структурный).</w:t>
            </w:r>
          </w:p>
          <w:p>
            <w:pPr>
              <w:jc w:val="both"/>
              <w:spacing w:after="0" w:line="240" w:lineRule="auto"/>
              <w:rPr>
                <w:sz w:val="24"/>
                <w:szCs w:val="24"/>
              </w:rPr>
            </w:pPr>
            <w:r>
              <w:rPr>
                <w:rFonts w:ascii="Times New Roman" w:hAnsi="Times New Roman" w:cs="Times New Roman"/>
                <w:color w:val="#000000"/>
                <w:sz w:val="24"/>
                <w:szCs w:val="24"/>
              </w:rPr>
              <w:t> 3.Различные подходы к изучению языковой личности.</w:t>
            </w:r>
          </w:p>
          <w:p>
            <w:pPr>
              <w:jc w:val="both"/>
              <w:spacing w:after="0" w:line="240" w:lineRule="auto"/>
              <w:rPr>
                <w:sz w:val="24"/>
                <w:szCs w:val="24"/>
              </w:rPr>
            </w:pPr>
            <w:r>
              <w:rPr>
                <w:rFonts w:ascii="Times New Roman" w:hAnsi="Times New Roman" w:cs="Times New Roman"/>
                <w:color w:val="#000000"/>
                <w:sz w:val="24"/>
                <w:szCs w:val="24"/>
              </w:rPr>
              <w:t> 4.Место языковой личности в пространстве культуры.</w:t>
            </w:r>
          </w:p>
          <w:p>
            <w:pPr>
              <w:jc w:val="both"/>
              <w:spacing w:after="0" w:line="240" w:lineRule="auto"/>
              <w:rPr>
                <w:sz w:val="24"/>
                <w:szCs w:val="24"/>
              </w:rPr>
            </w:pPr>
            <w:r>
              <w:rPr>
                <w:rFonts w:ascii="Times New Roman" w:hAnsi="Times New Roman" w:cs="Times New Roman"/>
                <w:color w:val="#000000"/>
                <w:sz w:val="24"/>
                <w:szCs w:val="24"/>
              </w:rPr>
              <w:t> 5.Образ человека в традиционной культуре.</w:t>
            </w:r>
          </w:p>
          <w:p>
            <w:pPr>
              <w:jc w:val="both"/>
              <w:spacing w:after="0" w:line="240" w:lineRule="auto"/>
              <w:rPr>
                <w:sz w:val="24"/>
                <w:szCs w:val="24"/>
              </w:rPr>
            </w:pPr>
            <w:r>
              <w:rPr>
                <w:rFonts w:ascii="Times New Roman" w:hAnsi="Times New Roman" w:cs="Times New Roman"/>
                <w:color w:val="#000000"/>
                <w:sz w:val="24"/>
                <w:szCs w:val="24"/>
              </w:rPr>
              <w:t>  6.Мужчины и женщины в обществе, культуре и языке («маскулинность», «фемининность»).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Текст.</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картина мира и этнокультурная специфика слова.</w:t>
            </w:r>
          </w:p>
          <w:p>
            <w:pPr>
              <w:jc w:val="both"/>
              <w:spacing w:after="0" w:line="240" w:lineRule="auto"/>
              <w:rPr>
                <w:sz w:val="24"/>
                <w:szCs w:val="24"/>
              </w:rPr>
            </w:pPr>
            <w:r>
              <w:rPr>
                <w:rFonts w:ascii="Times New Roman" w:hAnsi="Times New Roman" w:cs="Times New Roman"/>
                <w:color w:val="#000000"/>
                <w:sz w:val="24"/>
                <w:szCs w:val="24"/>
              </w:rPr>
              <w:t> 2.Национально-культурная семантика уровней языка.</w:t>
            </w:r>
          </w:p>
          <w:p>
            <w:pPr>
              <w:jc w:val="both"/>
              <w:spacing w:after="0" w:line="240" w:lineRule="auto"/>
              <w:rPr>
                <w:sz w:val="24"/>
                <w:szCs w:val="24"/>
              </w:rPr>
            </w:pPr>
            <w:r>
              <w:rPr>
                <w:rFonts w:ascii="Times New Roman" w:hAnsi="Times New Roman" w:cs="Times New Roman"/>
                <w:color w:val="#000000"/>
                <w:sz w:val="24"/>
                <w:szCs w:val="24"/>
              </w:rPr>
              <w:t>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pPr>
              <w:jc w:val="both"/>
              <w:spacing w:after="0" w:line="240" w:lineRule="auto"/>
              <w:rPr>
                <w:sz w:val="24"/>
                <w:szCs w:val="24"/>
              </w:rPr>
            </w:pPr>
            <w:r>
              <w:rPr>
                <w:rFonts w:ascii="Times New Roman" w:hAnsi="Times New Roman" w:cs="Times New Roman"/>
                <w:color w:val="#000000"/>
                <w:sz w:val="24"/>
                <w:szCs w:val="24"/>
              </w:rPr>
              <w:t>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Метафора как способ представления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«метафора».</w:t>
            </w:r>
          </w:p>
          <w:p>
            <w:pPr>
              <w:jc w:val="both"/>
              <w:spacing w:after="0" w:line="240" w:lineRule="auto"/>
              <w:rPr>
                <w:sz w:val="24"/>
                <w:szCs w:val="24"/>
              </w:rPr>
            </w:pPr>
            <w:r>
              <w:rPr>
                <w:rFonts w:ascii="Times New Roman" w:hAnsi="Times New Roman" w:cs="Times New Roman"/>
                <w:color w:val="#000000"/>
                <w:sz w:val="24"/>
                <w:szCs w:val="24"/>
              </w:rPr>
              <w:t> 2 Соотношение понятий «метафора» и «фразеологическая единица».</w:t>
            </w:r>
          </w:p>
          <w:p>
            <w:pPr>
              <w:jc w:val="both"/>
              <w:spacing w:after="0" w:line="240" w:lineRule="auto"/>
              <w:rPr>
                <w:sz w:val="24"/>
                <w:szCs w:val="24"/>
              </w:rPr>
            </w:pPr>
            <w:r>
              <w:rPr>
                <w:rFonts w:ascii="Times New Roman" w:hAnsi="Times New Roman" w:cs="Times New Roman"/>
                <w:color w:val="#000000"/>
                <w:sz w:val="24"/>
                <w:szCs w:val="24"/>
              </w:rPr>
              <w:t> 3 Метафора в концептуальной картине мира этноса.</w:t>
            </w:r>
          </w:p>
          <w:p>
            <w:pPr>
              <w:jc w:val="both"/>
              <w:spacing w:after="0" w:line="240" w:lineRule="auto"/>
              <w:rPr>
                <w:sz w:val="24"/>
                <w:szCs w:val="24"/>
              </w:rPr>
            </w:pPr>
            <w:r>
              <w:rPr>
                <w:rFonts w:ascii="Times New Roman" w:hAnsi="Times New Roman" w:cs="Times New Roman"/>
                <w:color w:val="#000000"/>
                <w:sz w:val="24"/>
                <w:szCs w:val="24"/>
              </w:rPr>
              <w:t> 4 Теория метафоры.</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метафоры как явления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 и стереотип как явления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«символ», «стереотип», «эталон», их соотношение.</w:t>
            </w:r>
          </w:p>
          <w:p>
            <w:pPr>
              <w:jc w:val="both"/>
              <w:spacing w:after="0" w:line="240" w:lineRule="auto"/>
              <w:rPr>
                <w:sz w:val="24"/>
                <w:szCs w:val="24"/>
              </w:rPr>
            </w:pPr>
            <w:r>
              <w:rPr>
                <w:rFonts w:ascii="Times New Roman" w:hAnsi="Times New Roman" w:cs="Times New Roman"/>
                <w:color w:val="#000000"/>
                <w:sz w:val="24"/>
                <w:szCs w:val="24"/>
              </w:rPr>
              <w:t> 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pPr>
              <w:jc w:val="both"/>
              <w:spacing w:after="0" w:line="240" w:lineRule="auto"/>
              <w:rPr>
                <w:sz w:val="24"/>
                <w:szCs w:val="24"/>
              </w:rPr>
            </w:pPr>
            <w:r>
              <w:rPr>
                <w:rFonts w:ascii="Times New Roman" w:hAnsi="Times New Roman" w:cs="Times New Roman"/>
                <w:color w:val="#000000"/>
                <w:sz w:val="24"/>
                <w:szCs w:val="24"/>
              </w:rPr>
              <w:t> 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pPr>
              <w:jc w:val="both"/>
              <w:spacing w:after="0" w:line="240" w:lineRule="auto"/>
              <w:rPr>
                <w:sz w:val="24"/>
                <w:szCs w:val="24"/>
              </w:rPr>
            </w:pPr>
            <w:r>
              <w:rPr>
                <w:rFonts w:ascii="Times New Roman" w:hAnsi="Times New Roman" w:cs="Times New Roman"/>
                <w:color w:val="#000000"/>
                <w:sz w:val="24"/>
                <w:szCs w:val="24"/>
              </w:rPr>
              <w:t>  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pPr>
              <w:jc w:val="both"/>
              <w:spacing w:after="0" w:line="240" w:lineRule="auto"/>
              <w:rPr>
                <w:sz w:val="24"/>
                <w:szCs w:val="24"/>
              </w:rPr>
            </w:pPr>
            <w:r>
              <w:rPr>
                <w:rFonts w:ascii="Times New Roman" w:hAnsi="Times New Roman" w:cs="Times New Roman"/>
                <w:color w:val="#000000"/>
                <w:sz w:val="24"/>
                <w:szCs w:val="24"/>
              </w:rPr>
              <w:t> 3.Языковая картина мира.</w:t>
            </w:r>
          </w:p>
          <w:p>
            <w:pPr>
              <w:jc w:val="both"/>
              <w:spacing w:after="0" w:line="240" w:lineRule="auto"/>
              <w:rPr>
                <w:sz w:val="24"/>
                <w:szCs w:val="24"/>
              </w:rPr>
            </w:pPr>
            <w:r>
              <w:rPr>
                <w:rFonts w:ascii="Times New Roman" w:hAnsi="Times New Roman" w:cs="Times New Roman"/>
                <w:color w:val="#000000"/>
                <w:sz w:val="24"/>
                <w:szCs w:val="24"/>
              </w:rPr>
              <w:t> 4.Имя как основной носитель национально-культурной информации.</w:t>
            </w:r>
          </w:p>
          <w:p>
            <w:pPr>
              <w:jc w:val="both"/>
              <w:spacing w:after="0" w:line="240" w:lineRule="auto"/>
              <w:rPr>
                <w:sz w:val="24"/>
                <w:szCs w:val="24"/>
              </w:rPr>
            </w:pPr>
            <w:r>
              <w:rPr>
                <w:rFonts w:ascii="Times New Roman" w:hAnsi="Times New Roman" w:cs="Times New Roman"/>
                <w:color w:val="#000000"/>
                <w:sz w:val="24"/>
                <w:szCs w:val="24"/>
              </w:rPr>
              <w:t> 5.Особенности функционирования прецедентных имен. Когнитивная лингвистика.</w:t>
            </w:r>
          </w:p>
          <w:p>
            <w:pPr>
              <w:jc w:val="both"/>
              <w:spacing w:after="0" w:line="240" w:lineRule="auto"/>
              <w:rPr>
                <w:sz w:val="24"/>
                <w:szCs w:val="24"/>
              </w:rPr>
            </w:pPr>
            <w:r>
              <w:rPr>
                <w:rFonts w:ascii="Times New Roman" w:hAnsi="Times New Roman" w:cs="Times New Roman"/>
                <w:color w:val="#000000"/>
                <w:sz w:val="24"/>
                <w:szCs w:val="24"/>
              </w:rPr>
              <w:t>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2024-2025_ФГОС3++2024_Бак-ОФО-ПО(РЯ)(24)_plx_Лингвокультурология</dc:title>
  <dc:creator>FastReport.NET</dc:creator>
</cp:coreProperties>
</file>